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1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das variáveis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formas de relevo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riqueza de solos</w:t>
        </w:r>
      </w:hyperlink>
      <w:r>
        <w:t xml:space="preserve">. A métrica é composta por uma média hierárquica dessas diferentes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</w:p>
    <w:p>
      <w:pPr>
        <w:pStyle w:val="Textoindependiente"/>
      </w:pP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.</w:t>
      </w:r>
    </w:p>
    <w:bookmarkStart w:id="20" w:name="bases-de-dados-utilizadas"/>
    <w:p>
      <w:pPr>
        <w:pStyle w:val="Ttulo2"/>
      </w:pPr>
      <w:r>
        <w:t xml:space="preserve">Bases de dados utilizadas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vieses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5" w:name="Xc02216c9169d9b9a1845250ee6707f3a87c98b7"/>
    <w:p>
      <w:pPr>
        <w:pStyle w:val="Ttulo2"/>
      </w:pPr>
      <w:r>
        <w:t xml:space="preserve">Variáveis que compõem a heterogeneidade da paisagem</w:t>
      </w:r>
    </w:p>
    <w:bookmarkStart w:id="40" w:name="variedade-de-formas-de-relevo-landforms"/>
    <w:p>
      <w:pPr>
        <w:pStyle w:val="Ttulo3"/>
      </w:pPr>
      <w:r>
        <w:t xml:space="preserve">Variedade de formas de relevo (</w:t>
      </w:r>
      <w:r>
        <w:rPr>
          <w:iCs/>
          <w:i/>
        </w:rPr>
        <w:t xml:space="preserve">landforms</w:t>
      </w:r>
      <w:r>
        <w:t xml:space="preserve">)</w:t>
      </w:r>
    </w:p>
    <w:p>
      <w:pPr>
        <w:pStyle w:val="FirstParagraph"/>
      </w:pPr>
      <w:r>
        <w:t xml:space="preserve">A variedade de formas de relevo (</w:t>
      </w:r>
      <w:r>
        <w:rPr>
          <w:iCs/>
          <w:i/>
        </w:rPr>
        <w:t xml:space="preserve">landforms</w:t>
      </w:r>
      <w:r>
        <w:t xml:space="preserve">) é a representada pela quantidade de formas de relevo dentro de uma vizinhança da célula focal. Primeiro classificamos as formas de relevo e em seguida contabilizamos a quantidade de formas no entorno de cada célula.</w:t>
      </w:r>
    </w:p>
    <w:p>
      <w:pPr>
        <w:pStyle w:val="Textoindependiente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distribuição de</w:t>
      </w:r>
      <w:r>
        <w:t xml:space="preserve"> </w:t>
      </w:r>
      <w:r>
        <w:rPr>
          <w:bCs/>
          <w:b/>
        </w:rPr>
        <w:t xml:space="preserve">rios e lagos</w:t>
      </w:r>
      <w:r>
        <w:t xml:space="preserve">, descritas em detalhes abaixo.</w:t>
      </w:r>
    </w:p>
    <w:p>
      <w:pPr>
        <w:pStyle w:val="Textoindependiente"/>
      </w:pPr>
      <w:r>
        <w:t xml:space="preserve">A combinação dessas variáveis permite identificar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conduzidos 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A análise conduzida no presente estudo apresentou algumas modificações com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pelo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</w:t>
      </w:r>
      <w:r>
        <w:t xml:space="preserve"> </w:t>
      </w:r>
      <w:r>
        <w:t xml:space="preserve"> </w:t>
      </w:r>
      <w:r>
        <w:t xml:space="preserve">Além disso, a orientação do relevo (faces quentes ou frias) foi ajustada para o Hemisférios Sul.</w:t>
      </w:r>
      <w:r>
        <w:t xml:space="preserve"> </w:t>
      </w:r>
      <w:r>
        <w:t xml:space="preserve">Por fim, a classificação das formas de relevo 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2857500" cy="1714209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7142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 formas de relevo de acordo com a declividade do relevo, índice de posição topográfica,</w:t>
            </w:r>
            <w:r>
              <w:t xml:space="preserve"> </w:t>
            </w:r>
            <w:r>
              <w:t xml:space="preserve">orientação do relevo, índice de umidade,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Start w:id="26" w:name="declividade-do-relevo-slope"/>
    <w:p>
      <w:pPr>
        <w:pStyle w:val="Ttulo4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apresentados em graus de declividade (0º a 90º).</w:t>
      </w:r>
    </w:p>
    <w:bookmarkEnd w:id="26"/>
    <w:bookmarkStart w:id="27" w:name="orientação-do-relevo-aspect"/>
    <w:p>
      <w:pPr>
        <w:pStyle w:val="Ttulo4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7"/>
    <w:bookmarkStart w:id="28" w:name="índice-de-posição-topográfica-tpi"/>
    <w:p>
      <w:pPr>
        <w:pStyle w:val="Ttulo4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8"/>
    <w:bookmarkStart w:id="29" w:name="índice-de-umidade-moisture-index"/>
    <w:p>
      <w:pPr>
        <w:pStyle w:val="Ttulo4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na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calculadas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29"/>
    <w:bookmarkStart w:id="31" w:name="transformando-os-índices-em-classes"/>
    <w:p>
      <w:pPr>
        <w:pStyle w:val="Ttulo4"/>
      </w:pPr>
      <w:r>
        <w:t xml:space="preserve">Transformando os índices em classes</w:t>
      </w:r>
    </w:p>
    <w:p>
      <w:pPr>
        <w:pStyle w:val="FirstParagraph"/>
      </w:pPr>
      <w:r>
        <w:t xml:space="preserve">Cada índice (declividade e orientação do relevo, TPI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 formas de relevo.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com a orietação do relevo ajustada para o Hemisfério Sul.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de água e lagos do MapBiomas.</w:t>
      </w:r>
    </w:p>
    <w:bookmarkStart w:id="30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0"/>
    <w:bookmarkEnd w:id="31"/>
    <w:bookmarkStart w:id="38" w:name="X9a8d97ca7581412efd3750847bbb75fbec36651"/>
    <w:p>
      <w:pPr>
        <w:pStyle w:val="Ttulo4"/>
      </w:pPr>
      <w:r>
        <w:t xml:space="preserve">Combinando as variáveis e classificando as formas de relevo</w:t>
      </w:r>
    </w:p>
    <w:p>
      <w:pPr>
        <w:pStyle w:val="FirstParagraph"/>
      </w:pPr>
      <w:r>
        <w:t xml:space="preserve">As classes de cada variável foram combinadas para representar as formas de relevo como um código numérico (</w:t>
      </w:r>
      <w:hyperlink w:anchor="fig-BR">
        <w:r>
          <w:rPr>
            <w:rStyle w:val="Hipervnculo"/>
          </w:rPr>
          <w:t xml:space="preserve">Figura 2</w:t>
        </w:r>
      </w:hyperlink>
      <w:r>
        <w:t xml:space="preserve">):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foi multiplicado por 1000;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foi multiplicado por 100;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TPI</w:t>
      </w:r>
      <w:r>
        <w:t xml:space="preserve"> </w:t>
      </w:r>
      <w:r>
        <w:t xml:space="preserve">foi multiplicado por 10;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foi multiplicado por 1.</w:t>
      </w:r>
    </w:p>
    <w:p>
      <w:pPr>
        <w:pStyle w:val="Textoindependiente"/>
      </w:pPr>
      <w:r>
        <w:t xml:space="preserve">Por exemplo, o código 11 (0011) representa a primeira classe de declividade (áreas de baixa declividade) e a primeira classe de TPI (posição do relevo mais alta que o entorno), sendo, portanto,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 formas de relevo, como por exemplo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5" w:name="fig-BR"/>
          <w:p>
            <w:pPr>
              <w:jc w:val="center"/>
            </w:pPr>
            <w:r>
              <w:drawing>
                <wp:inline>
                  <wp:extent cx="3810000" cy="3794760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79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Classificações das formas de relevo do Brasil.</w:t>
            </w:r>
          </w:p>
          <w:bookmarkEnd w:id="35"/>
        </w:tc>
      </w:tr>
    </w:tbl>
    <w:p>
      <w:pPr>
        <w:pStyle w:val="Textoindependiente"/>
      </w:pPr>
      <w:r>
        <w:t xml:space="preserve"> </w:t>
      </w:r>
    </w:p>
    <w:bookmarkStart w:id="36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Formas de Relevo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6"/>
    <w:p>
      <w:pPr>
        <w:pStyle w:val="Textoindependiente"/>
      </w:pPr>
      <w:r>
        <w:t xml:space="preserve">A classificação final de formas de relevo pode ser visualizada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7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7"/>
    <w:bookmarkEnd w:id="38"/>
    <w:bookmarkStart w:id="39" w:name="obtendo-a-variedade-de-formas-de-relevo"/>
    <w:p>
      <w:pPr>
        <w:pStyle w:val="Ttulo4"/>
      </w:pPr>
      <w:r>
        <w:t xml:space="preserve">Obtendo a variedade de formas de relevo</w:t>
      </w:r>
    </w:p>
    <w:p>
      <w:pPr>
        <w:pStyle w:val="FirstParagraph"/>
      </w:pPr>
      <w:r>
        <w:t xml:space="preserve">A variedade de formas de relevo foi calculada como a quantidade de tipos de formas de relevo dentro de uma janela circular da célula focal. O tamanho do raio da janela foi definido calculando a variedade em diferentes raios (2, 5, 7, 10, 15, 20 células) e calculando a diferença na média de variedade obtido para o Brasil a cada aumento de raio. O raio escolhido foi aquele em que o seu subsequente não adicionou variedade. Desta forma, o raio representa o nível de resolução da paisagem que captura o máximo de variedade de formas de relevo. O raio escolhido foi de 5 células de raio (450 m) para todo o Brasil.</w:t>
      </w:r>
    </w:p>
    <w:bookmarkEnd w:id="39"/>
    <w:bookmarkEnd w:id="40"/>
    <w:bookmarkStart w:id="41" w:name="amplitude-altitudinal"/>
    <w:p>
      <w:pPr>
        <w:pStyle w:val="Ttulo3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altitude em uma região, independente da variedade de formas de relevo. A amplitude altitudinal foi calculada como a diferença entre os valores máximos e mínimos de altitude,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 formas de relevo</w:t>
      </w:r>
      <w:r>
        <w:t xml:space="preserve"> </w:t>
      </w:r>
      <w:r>
        <w:t xml:space="preserve">e obtivemos os valores dos resíduos dessa análise como a amplitude altitudinal independente da variedade de formas de relevo.</w:t>
      </w:r>
    </w:p>
    <w:bookmarkEnd w:id="41"/>
    <w:bookmarkStart w:id="42" w:name="índice-de-áreas-úmidas"/>
    <w:p>
      <w:pPr>
        <w:pStyle w:val="Ttulo3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para todo o mundo. Os dados são obtidos através de imagens de satélite, amostragens aéreas e relatórios publicados. No presente estudo, reamostramos o mapa de áreas úmidas para a mesma resolução das demais variáveis. Depois, calculamos o índice de áreas úmidas considerando a densidade de áreas úmidas na escala local (450 m) e na escala regional (1170 m). Também foi incluído no índice final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local (450 m) e regional (1170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bookmarkEnd w:id="42"/>
    <w:bookmarkStart w:id="44" w:name="riqueza-de-solos"/>
    <w:p>
      <w:pPr>
        <w:pStyle w:val="Ttulo3"/>
      </w:pPr>
      <w:r>
        <w:t xml:space="preserve">Riqueza de solos</w:t>
      </w:r>
    </w:p>
    <w:p>
      <w:pPr>
        <w:pStyle w:val="FirstParagraph"/>
      </w:pPr>
      <w:r>
        <w:t xml:space="preserve">A riqueza de solos foi calculada como a quantidade de tipos de solos dominantes e sub-dominantes nos polígonos de solo obtidos da base do Instituto Brasileiro de Geografica e Estatística (IBGE) 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Essa informação foi rasterizada e projetada na mesma resolução espacial das variáves descritas anteriormente.</w:t>
      </w:r>
    </w:p>
    <w:bookmarkEnd w:id="44"/>
    <w:bookmarkEnd w:id="45"/>
    <w:bookmarkStart w:id="46" w:name="padronização-das-variáveis"/>
    <w:p>
      <w:pPr>
        <w:pStyle w:val="Ttulo2"/>
      </w:pPr>
      <w:r>
        <w:t xml:space="preserve">Padronização das variáveis</w:t>
      </w:r>
    </w:p>
    <w:p>
      <w:pPr>
        <w:pStyle w:val="FirstParagraph"/>
      </w:pPr>
      <w:r>
        <w:t xml:space="preserve">A transformação de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foi aplicada também para a</w:t>
      </w:r>
      <w:r>
        <w:t xml:space="preserve"> </w:t>
      </w:r>
      <w:r>
        <w:rPr>
          <w:bCs/>
          <w:b/>
        </w:rPr>
        <w:t xml:space="preserve">variedade de formas de relevo</w:t>
      </w:r>
      <w:r>
        <w:t xml:space="preserve">,</w:t>
      </w:r>
      <w:r>
        <w:t xml:space="preserve"> </w:t>
      </w:r>
      <w:r>
        <w:rPr>
          <w:bCs/>
          <w:b/>
        </w:rPr>
        <w:t xml:space="preserve">amplitude altitudinal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riqueza de solos</w:t>
      </w:r>
      <w:r>
        <w:t xml:space="preserve"> </w:t>
      </w:r>
      <w:r>
        <w:t xml:space="preserve">para compormos a heterogeneidade da paisagem.</w:t>
      </w:r>
    </w:p>
    <w:bookmarkEnd w:id="46"/>
    <w:bookmarkStart w:id="70" w:name="X11a52c0660886275c6ce03b883c3b7875703665"/>
    <w:p>
      <w:pPr>
        <w:pStyle w:val="Ttulo2"/>
      </w:pPr>
      <w:r>
        <w:t xml:space="preserve">Heterogeneidade da paisagem: combinação das variáveis</w:t>
      </w:r>
    </w:p>
    <w:p>
      <w:pPr>
        <w:pStyle w:val="FirstParagraph"/>
      </w:pPr>
      <w:r>
        <w:t xml:space="preserve">A heterogeneidade da paisagem é calculada seguindo uma hierarquia nas variáveis.</w:t>
      </w:r>
      <w:r>
        <w:t xml:space="preserve"> </w:t>
      </w:r>
      <w:r>
        <w:t xml:space="preserve">Na etapa 1, ela é definida inicialmente como o valor de Z da variedade de formas de relevo.</w:t>
      </w:r>
      <w:r>
        <w:t xml:space="preserve"> </w:t>
      </w:r>
      <w:r>
        <w:t xml:space="preserve">Na etapa 2, em locais onde o valor de Z para amplitude altitudinal é maior que aquele obtido para a variedade de formas de relevo, a heterogeneidade da paisagem é calculada como a média ponderada das duas variáveis, dando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 </w:t>
      </w:r>
      <w:r>
        <w:t xml:space="preserve">Na etapa 3, em locais onde o índice áreas úmidas é maior que a heterogeneidade da paisagem calculada na etapa 2, calculamos a média ponderada da heterogeneidade da paisagem e índice de áreas úmidas, atribuindo peso dois para as áreas úmidas. O peso duplo das áreas úmidas é justificado por esses locais estarem em áreas planas com baixa variabilidade topográfica, sendo as áreas úmidas locais com alta disponibilidade hídrica que determinam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Se, na etapa 2, a amplitude altitudinal não foi importante para a célula, a heterogeneidade da etapa 3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 etapa 4, nos locais onde o valor de Z da riqueza de solos é maior que a heterogeneidade da paisagem calculada na etapa 3, os valores são substituídos pela média ponderada das variáveis naquela localidade, com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Se, na etapa 3, nas células onde o índice de áreas úmidas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Da mesma forma, em locais onde a amplitude altitudinal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Por fim, em locais onde apenas a variedade de formas de relevo foram importantes até aqui,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9" w:name="refs"/>
    <w:bookmarkStart w:id="48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7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8"/>
    <w:bookmarkStart w:id="49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9"/>
    <w:bookmarkStart w:id="51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50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1"/>
    <w:bookmarkStart w:id="52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50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2"/>
    <w:bookmarkStart w:id="54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3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4"/>
    <w:bookmarkStart w:id="55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5"/>
    <w:bookmarkStart w:id="57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6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7"/>
    <w:bookmarkStart w:id="59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8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9"/>
    <w:bookmarkStart w:id="61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60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1"/>
    <w:bookmarkStart w:id="63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2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3"/>
    <w:bookmarkStart w:id="64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4"/>
    <w:bookmarkStart w:id="66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5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6"/>
    <w:bookmarkStart w:id="68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7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8"/>
    <w:bookmarkEnd w:id="69"/>
    <w:bookmarkEnd w:id="70"/>
    <w:bookmarkEnd w:id="71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2" Target="media/rId32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7" Target="https://doi.org/10.1002/2017GL072874" TargetMode="External" /><Relationship Type="http://schemas.openxmlformats.org/officeDocument/2006/relationships/hyperlink" Id="rId56" Target="https://doi.org/10.1016/j.rse.2017.06.031" TargetMode="External" /><Relationship Type="http://schemas.openxmlformats.org/officeDocument/2006/relationships/hyperlink" Id="rId65" Target="https://doi.org/10.1029/2019WR024873" TargetMode="External" /><Relationship Type="http://schemas.openxmlformats.org/officeDocument/2006/relationships/hyperlink" Id="rId47" Target="https://doi.org/10.1073/pnas.2204434119" TargetMode="External" /><Relationship Type="http://schemas.openxmlformats.org/officeDocument/2006/relationships/hyperlink" Id="rId50" Target="https://doi.org/10.1111/cobi.12272" TargetMode="External" /><Relationship Type="http://schemas.openxmlformats.org/officeDocument/2006/relationships/hyperlink" Id="rId53" Target="https://doi.org/10.1111/j.1365-2486.2010.02263.x" TargetMode="External" /><Relationship Type="http://schemas.openxmlformats.org/officeDocument/2006/relationships/hyperlink" Id="rId62" Target="https://doi.org/10.1371/journal.pone.0143619" TargetMode="External" /><Relationship Type="http://schemas.openxmlformats.org/officeDocument/2006/relationships/hyperlink" Id="rId58" Target="https://doi.org/10.17528/cifor/data.00058" TargetMode="External" /><Relationship Type="http://schemas.openxmlformats.org/officeDocument/2006/relationships/hyperlink" Id="rId60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7" Target="https://doi.org/10.1002/2017GL072874" TargetMode="External" /><Relationship Type="http://schemas.openxmlformats.org/officeDocument/2006/relationships/hyperlink" Id="rId56" Target="https://doi.org/10.1016/j.rse.2017.06.031" TargetMode="External" /><Relationship Type="http://schemas.openxmlformats.org/officeDocument/2006/relationships/hyperlink" Id="rId65" Target="https://doi.org/10.1029/2019WR024873" TargetMode="External" /><Relationship Type="http://schemas.openxmlformats.org/officeDocument/2006/relationships/hyperlink" Id="rId47" Target="https://doi.org/10.1073/pnas.2204434119" TargetMode="External" /><Relationship Type="http://schemas.openxmlformats.org/officeDocument/2006/relationships/hyperlink" Id="rId50" Target="https://doi.org/10.1111/cobi.12272" TargetMode="External" /><Relationship Type="http://schemas.openxmlformats.org/officeDocument/2006/relationships/hyperlink" Id="rId53" Target="https://doi.org/10.1111/j.1365-2486.2010.02263.x" TargetMode="External" /><Relationship Type="http://schemas.openxmlformats.org/officeDocument/2006/relationships/hyperlink" Id="rId62" Target="https://doi.org/10.1371/journal.pone.0143619" TargetMode="External" /><Relationship Type="http://schemas.openxmlformats.org/officeDocument/2006/relationships/hyperlink" Id="rId58" Target="https://doi.org/10.17528/cifor/data.00058" TargetMode="External" /><Relationship Type="http://schemas.openxmlformats.org/officeDocument/2006/relationships/hyperlink" Id="rId60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2023-10-03T13:45:52Z</dcterms:created>
  <dcterms:modified xsi:type="dcterms:W3CDTF">2023-10-03T13:45:52Z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